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48D" w:rsidRDefault="00A7540F">
      <w:pPr>
        <w:rPr>
          <w:rFonts w:ascii="Arial" w:eastAsia="Arial" w:hAnsi="Arial" w:cs="Arial"/>
          <w:b/>
          <w:sz w:val="36"/>
          <w:szCs w:val="36"/>
        </w:rPr>
      </w:pPr>
      <w:r>
        <w:rPr>
          <w:rFonts w:ascii="Arial" w:eastAsia="Arial" w:hAnsi="Arial" w:cs="Arial"/>
          <w:b/>
          <w:sz w:val="36"/>
          <w:szCs w:val="36"/>
        </w:rPr>
        <w:t>Framework Schedule 3 (Framework Prices)</w:t>
      </w:r>
    </w:p>
    <w:p w:rsidR="0004548D" w:rsidRDefault="00A7540F">
      <w:pPr>
        <w:numPr>
          <w:ilvl w:val="0"/>
          <w:numId w:val="1"/>
        </w:numPr>
        <w:pBdr>
          <w:top w:val="nil"/>
          <w:left w:val="nil"/>
          <w:bottom w:val="nil"/>
          <w:right w:val="nil"/>
          <w:between w:val="nil"/>
        </w:pBdr>
        <w:tabs>
          <w:tab w:val="left" w:pos="142"/>
        </w:tabs>
        <w:spacing w:before="120" w:after="240" w:line="240" w:lineRule="auto"/>
        <w:jc w:val="both"/>
      </w:pPr>
      <w:bookmarkStart w:id="0" w:name="_heading=h.gjdgxs" w:colFirst="0" w:colLast="0"/>
      <w:bookmarkEnd w:id="0"/>
      <w:r>
        <w:rPr>
          <w:rFonts w:ascii="Arial" w:eastAsia="Arial" w:hAnsi="Arial" w:cs="Arial"/>
          <w:b/>
          <w:color w:val="000000"/>
          <w:sz w:val="24"/>
          <w:szCs w:val="24"/>
        </w:rPr>
        <w:t>How Framework Prices are used to calculate Call-Off Charges</w:t>
      </w:r>
    </w:p>
    <w:p w:rsidR="0004548D" w:rsidRDefault="00A7540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rsidR="0004548D" w:rsidRDefault="00A7540F">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rsidR="0004548D" w:rsidRDefault="00A7540F">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cannot</w:t>
      </w:r>
      <w:proofErr w:type="gramEnd"/>
      <w:r>
        <w:rPr>
          <w:rFonts w:ascii="Arial" w:eastAsia="Arial" w:hAnsi="Arial" w:cs="Arial"/>
          <w:color w:val="000000"/>
          <w:sz w:val="24"/>
          <w:szCs w:val="24"/>
        </w:rPr>
        <w:t xml:space="preserve"> be increased except as in accordance with this Schedule.</w:t>
      </w:r>
    </w:p>
    <w:p w:rsidR="0004548D" w:rsidRDefault="00A7540F">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sz w:val="24"/>
          <w:szCs w:val="24"/>
        </w:rPr>
        <w:t>CCS will share the Framework prices with Buyer’s following completion of an access agreement, so that they can determine maximums that Suppliers may charge; and</w:t>
      </w:r>
    </w:p>
    <w:p w:rsidR="0004548D" w:rsidRDefault="00A7540F">
      <w:pPr>
        <w:numPr>
          <w:ilvl w:val="2"/>
          <w:numId w:val="1"/>
        </w:numPr>
        <w:pBdr>
          <w:top w:val="nil"/>
          <w:left w:val="nil"/>
          <w:bottom w:val="nil"/>
          <w:right w:val="nil"/>
          <w:between w:val="nil"/>
        </w:pBdr>
        <w:tabs>
          <w:tab w:val="left" w:pos="1985"/>
          <w:tab w:val="left" w:pos="2127"/>
        </w:tabs>
        <w:spacing w:before="120" w:after="120" w:line="240" w:lineRule="auto"/>
        <w:ind w:left="1980" w:hanging="810"/>
        <w:rPr>
          <w:color w:val="000000"/>
        </w:rPr>
      </w:pPr>
      <w:r>
        <w:rPr>
          <w:rFonts w:ascii="Arial" w:eastAsia="Arial" w:hAnsi="Arial" w:cs="Arial"/>
          <w:sz w:val="24"/>
          <w:szCs w:val="24"/>
        </w:rPr>
        <w:t>The Supplier acknowledges and agrees that any prices submitted in relation to a further competition held in accordance with Framework Schedule 7 (Call Off Award Procedure) shall be equal to or lower than the Framework Prices referenced in this Framework Schedule 3;</w:t>
      </w:r>
      <w:r>
        <w:rPr>
          <w:rFonts w:ascii="Arial" w:eastAsia="Arial" w:hAnsi="Arial" w:cs="Arial"/>
          <w:color w:val="000000"/>
          <w:sz w:val="24"/>
          <w:szCs w:val="24"/>
        </w:rPr>
        <w:t xml:space="preserve"> </w:t>
      </w:r>
    </w:p>
    <w:p w:rsidR="0004548D" w:rsidRDefault="00A7540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rsidR="0004548D" w:rsidRDefault="00A7540F">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rsidR="0004548D" w:rsidRDefault="00A7540F">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specifically permitted by the Call Off Contract and in particular shall only be subject to Indexation where specifically stated in the Order Form; and</w:t>
      </w:r>
    </w:p>
    <w:p w:rsidR="0004548D" w:rsidRDefault="00A7540F">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shall</w:t>
      </w:r>
      <w:proofErr w:type="gramEnd"/>
      <w:r>
        <w:rPr>
          <w:rFonts w:ascii="Arial" w:eastAsia="Arial" w:hAnsi="Arial" w:cs="Arial"/>
          <w:color w:val="000000"/>
          <w:sz w:val="24"/>
          <w:szCs w:val="24"/>
        </w:rPr>
        <w:t xml:space="preserve"> not be impacted by any change to the Framework Prices.</w:t>
      </w:r>
    </w:p>
    <w:p w:rsidR="0004548D" w:rsidRDefault="00A7540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p>
    <w:p w:rsidR="0004548D" w:rsidRDefault="00A7540F">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rsidR="0004548D" w:rsidRDefault="00A7540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pricing mechanisms and prices set out in Annex 1 shall be available for use in calculation of Framework Prices in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Contracts.</w:t>
      </w:r>
    </w:p>
    <w:p w:rsidR="0004548D" w:rsidRDefault="00A7540F">
      <w:pPr>
        <w:numPr>
          <w:ilvl w:val="0"/>
          <w:numId w:val="1"/>
        </w:numPr>
        <w:pBdr>
          <w:top w:val="nil"/>
          <w:left w:val="nil"/>
          <w:bottom w:val="nil"/>
          <w:right w:val="nil"/>
          <w:between w:val="nil"/>
        </w:pBdr>
        <w:tabs>
          <w:tab w:val="left" w:pos="142"/>
        </w:tabs>
        <w:spacing w:before="120" w:after="240" w:line="240" w:lineRule="auto"/>
        <w:jc w:val="both"/>
      </w:pPr>
      <w:bookmarkStart w:id="2" w:name="bookmark=id.3znysh7" w:colFirst="0" w:colLast="0"/>
      <w:bookmarkStart w:id="3" w:name="_heading=h.1fob9te" w:colFirst="0" w:colLast="0"/>
      <w:bookmarkEnd w:id="2"/>
      <w:bookmarkEnd w:id="3"/>
      <w:r>
        <w:rPr>
          <w:rFonts w:ascii="Arial" w:eastAsia="Arial" w:hAnsi="Arial" w:cs="Arial"/>
          <w:b/>
          <w:color w:val="000000"/>
          <w:sz w:val="24"/>
          <w:szCs w:val="24"/>
        </w:rPr>
        <w:t>Are costs and expenses included in the Framework Prices</w:t>
      </w:r>
    </w:p>
    <w:p w:rsidR="0004548D" w:rsidRDefault="00A7540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Except as expressly set out in Paragraph 4 below, or otherwise stated in a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Order Form</w:t>
      </w:r>
      <w:sdt>
        <w:sdtPr>
          <w:tag w:val="goog_rdk_0"/>
          <w:id w:val="-1644041503"/>
          <w:showingPlcHdr/>
        </w:sdtPr>
        <w:sdtEndPr/>
        <w:sdtContent>
          <w:r w:rsidR="00413F97">
            <w:t xml:space="preserve">     </w:t>
          </w:r>
        </w:sdtContent>
      </w:sdt>
      <w:r>
        <w:rPr>
          <w:rFonts w:ascii="Arial" w:eastAsia="Arial" w:hAnsi="Arial" w:cs="Arial"/>
          <w:color w:val="000000"/>
          <w:sz w:val="24"/>
          <w:szCs w:val="24"/>
        </w:rPr>
        <w:t xml:space="preserve"> the Framework Prices shall include all costs and expenses relating to the provision of Deliverables. No further amounts shall be payable in respect of matters such as:</w:t>
      </w:r>
    </w:p>
    <w:p w:rsidR="0004548D" w:rsidRDefault="00A7540F">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rsidR="0004548D" w:rsidRDefault="00A7540F">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lastRenderedPageBreak/>
        <w:t>costs</w:t>
      </w:r>
      <w:proofErr w:type="gramEnd"/>
      <w:r>
        <w:rPr>
          <w:rFonts w:ascii="Arial" w:eastAsia="Arial" w:hAnsi="Arial" w:cs="Arial"/>
          <w:color w:val="000000"/>
          <w:sz w:val="24"/>
          <w:szCs w:val="24"/>
        </w:rPr>
        <w:t xml:space="preserve"> incurred prior to the commencement of any Call Off Contract.</w:t>
      </w:r>
    </w:p>
    <w:p w:rsidR="0004548D" w:rsidRDefault="00A7540F">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rsidR="0004548D" w:rsidRDefault="00A7540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will be fixed for the first </w:t>
      </w:r>
      <w:r w:rsidRPr="009C3A93">
        <w:rPr>
          <w:rFonts w:ascii="Arial" w:eastAsia="Arial" w:hAnsi="Arial" w:cs="Arial"/>
          <w:b/>
          <w:color w:val="000000"/>
          <w:sz w:val="24"/>
          <w:szCs w:val="24"/>
        </w:rPr>
        <w:t xml:space="preserve">two </w:t>
      </w:r>
      <w:r w:rsidR="009C3A93" w:rsidRPr="009C3A93">
        <w:rPr>
          <w:rFonts w:ascii="Arial" w:eastAsia="Arial" w:hAnsi="Arial" w:cs="Arial"/>
          <w:b/>
          <w:color w:val="000000"/>
          <w:sz w:val="24"/>
          <w:szCs w:val="24"/>
        </w:rPr>
        <w:t>(2)</w:t>
      </w:r>
      <w:bookmarkStart w:id="4" w:name="_GoBack"/>
      <w:bookmarkEnd w:id="4"/>
      <w:r>
        <w:rPr>
          <w:rFonts w:ascii="Arial" w:eastAsia="Arial" w:hAnsi="Arial" w:cs="Arial"/>
          <w:b/>
          <w:color w:val="000000"/>
          <w:sz w:val="24"/>
          <w:szCs w:val="24"/>
        </w:rPr>
        <w:t xml:space="preserve"> </w:t>
      </w:r>
      <w:r>
        <w:rPr>
          <w:rFonts w:ascii="Arial" w:eastAsia="Arial" w:hAnsi="Arial" w:cs="Arial"/>
          <w:color w:val="000000"/>
          <w:sz w:val="24"/>
          <w:szCs w:val="24"/>
        </w:rPr>
        <w:t>years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rsidR="0004548D" w:rsidRDefault="00A7540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The Supplier shall give CCS at least three (3) Months' notice in writing prior to a Review Date where it wants to request an increase.  If the Supplier does not give notice in time then it will only be able to request an increase prior to the next Review Date.</w:t>
      </w:r>
    </w:p>
    <w:p w:rsidR="0004548D" w:rsidRDefault="00A7540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rsidR="0004548D" w:rsidRDefault="00A7540F">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rsidR="0004548D" w:rsidRDefault="00A7540F">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rsidR="0004548D" w:rsidRPr="009C3A93" w:rsidRDefault="00A7540F">
      <w:pPr>
        <w:numPr>
          <w:ilvl w:val="3"/>
          <w:numId w:val="1"/>
        </w:numPr>
        <w:pBdr>
          <w:top w:val="nil"/>
          <w:left w:val="nil"/>
          <w:bottom w:val="nil"/>
          <w:right w:val="nil"/>
          <w:between w:val="nil"/>
        </w:pBdr>
        <w:tabs>
          <w:tab w:val="left" w:pos="1985"/>
          <w:tab w:val="left" w:pos="2127"/>
        </w:tabs>
        <w:spacing w:before="120" w:after="120" w:line="240" w:lineRule="auto"/>
        <w:ind w:left="1985" w:hanging="815"/>
        <w:rPr>
          <w:rFonts w:ascii="Arial" w:eastAsia="Arial" w:hAnsi="Arial" w:cs="Arial"/>
          <w:sz w:val="24"/>
          <w:szCs w:val="24"/>
        </w:rPr>
      </w:pPr>
      <w:r w:rsidRPr="009C3A93">
        <w:rPr>
          <w:rFonts w:ascii="Arial" w:eastAsia="Arial" w:hAnsi="Arial" w:cs="Arial"/>
          <w:color w:val="000000"/>
          <w:sz w:val="24"/>
          <w:szCs w:val="24"/>
        </w:rPr>
        <w:t xml:space="preserve">a breakdown of the profit and cost components that comprise the relevant Framework Price; </w:t>
      </w:r>
    </w:p>
    <w:p w:rsidR="0004548D" w:rsidRPr="009C3A93" w:rsidRDefault="00A7540F">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sidRPr="009C3A93">
        <w:rPr>
          <w:rFonts w:ascii="Arial" w:eastAsia="Arial" w:hAnsi="Arial" w:cs="Arial"/>
          <w:color w:val="000000"/>
          <w:sz w:val="24"/>
          <w:szCs w:val="24"/>
        </w:rPr>
        <w:t>details of the movement in the different identified cost components of the relevant Framework Price;</w:t>
      </w:r>
    </w:p>
    <w:p w:rsidR="0004548D" w:rsidRPr="009C3A93" w:rsidRDefault="00A7540F">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sidRPr="009C3A93">
        <w:rPr>
          <w:rFonts w:ascii="Arial" w:eastAsia="Arial" w:hAnsi="Arial" w:cs="Arial"/>
          <w:color w:val="000000"/>
          <w:sz w:val="24"/>
          <w:szCs w:val="24"/>
        </w:rPr>
        <w:t>reasons for the movement in the different identified cost components of the relevant Framework Price;</w:t>
      </w:r>
    </w:p>
    <w:p w:rsidR="0004548D" w:rsidRPr="009C3A93" w:rsidRDefault="00A7540F">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sidRPr="009C3A93">
        <w:rPr>
          <w:rFonts w:ascii="Arial" w:eastAsia="Arial" w:hAnsi="Arial" w:cs="Arial"/>
          <w:color w:val="000000"/>
          <w:sz w:val="24"/>
          <w:szCs w:val="24"/>
        </w:rPr>
        <w:t>evidence that the Supplier has attempted to mitigate against the increase in the relevant cost components; and</w:t>
      </w:r>
    </w:p>
    <w:p w:rsidR="0004548D" w:rsidRPr="009C3A93" w:rsidRDefault="00A7540F">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proofErr w:type="gramStart"/>
      <w:r w:rsidRPr="009C3A93">
        <w:rPr>
          <w:rFonts w:ascii="Arial" w:eastAsia="Arial" w:hAnsi="Arial" w:cs="Arial"/>
          <w:color w:val="000000"/>
          <w:sz w:val="24"/>
          <w:szCs w:val="24"/>
        </w:rPr>
        <w:t>evidence</w:t>
      </w:r>
      <w:proofErr w:type="gramEnd"/>
      <w:r w:rsidRPr="009C3A93">
        <w:rPr>
          <w:rFonts w:ascii="Arial" w:eastAsia="Arial" w:hAnsi="Arial" w:cs="Arial"/>
          <w:color w:val="000000"/>
          <w:sz w:val="24"/>
          <w:szCs w:val="24"/>
        </w:rPr>
        <w:t xml:space="preserve"> that the Supplier’s profit component of the relevant  Framework Price is no greater than that applying to Framework Prices using the same pricing mechanism as at the Contract Commencement Date.</w:t>
      </w:r>
    </w:p>
    <w:p w:rsidR="0004548D" w:rsidRPr="009C3A93" w:rsidRDefault="00A7540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sidRPr="009C3A93">
        <w:rPr>
          <w:rFonts w:ascii="Arial" w:eastAsia="Arial" w:hAnsi="Arial" w:cs="Arial"/>
          <w:color w:val="000000"/>
          <w:sz w:val="24"/>
          <w:szCs w:val="24"/>
        </w:rPr>
        <w:t>CCS shall consider each request for a price increase.  CCS may grant Approval to an increase at its sole discretion.</w:t>
      </w:r>
    </w:p>
    <w:p w:rsidR="0004548D" w:rsidRDefault="00A7540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CCS approves an increase then it will be implemented from the first (1st) Working Day following the relevant Review Date or such later date as CCS may determine at its sole discretion and Annex 1 shall be updated accordingly.</w:t>
      </w:r>
    </w:p>
    <w:p w:rsidR="0004548D" w:rsidRDefault="00A7540F">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rsidR="0004548D" w:rsidRDefault="00A7540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rsidR="0004548D" w:rsidRDefault="00A7540F">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rsidR="0004548D" w:rsidRDefault="00A7540F">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rsidR="0004548D" w:rsidRDefault="00A7540F">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lastRenderedPageBreak/>
        <w:t>a benchmarking review and / or continuous improvement review in accordance with Joint Schedule 14 (Benchmarking) and Joint Schedule 13 (</w:t>
      </w:r>
      <w:r>
        <w:rPr>
          <w:rFonts w:ascii="Arial" w:eastAsia="Arial" w:hAnsi="Arial" w:cs="Arial"/>
          <w:sz w:val="24"/>
          <w:szCs w:val="24"/>
        </w:rPr>
        <w:t>Continuous</w:t>
      </w:r>
      <w:r>
        <w:rPr>
          <w:rFonts w:ascii="Arial" w:eastAsia="Arial" w:hAnsi="Arial" w:cs="Arial"/>
          <w:color w:val="000000"/>
          <w:sz w:val="24"/>
          <w:szCs w:val="24"/>
        </w:rPr>
        <w:t xml:space="preserve"> Improvement)</w:t>
      </w:r>
    </w:p>
    <w:p w:rsidR="0004548D" w:rsidRDefault="00A7540F">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Framework Prices;</w:t>
      </w:r>
    </w:p>
    <w:p w:rsidR="0004548D" w:rsidRDefault="0004548D">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color w:val="000000"/>
          <w:highlight w:val="yellow"/>
        </w:rPr>
      </w:pPr>
    </w:p>
    <w:p w:rsidR="0004548D" w:rsidRDefault="0004548D">
      <w:pPr>
        <w:pBdr>
          <w:top w:val="nil"/>
          <w:left w:val="nil"/>
          <w:bottom w:val="nil"/>
          <w:right w:val="nil"/>
          <w:between w:val="nil"/>
        </w:pBdr>
        <w:tabs>
          <w:tab w:val="left" w:pos="1985"/>
          <w:tab w:val="left" w:pos="2127"/>
        </w:tabs>
        <w:spacing w:before="120" w:after="120" w:line="240" w:lineRule="auto"/>
        <w:ind w:left="644" w:hanging="360"/>
        <w:rPr>
          <w:rFonts w:ascii="Arial" w:eastAsia="Arial" w:hAnsi="Arial" w:cs="Arial"/>
          <w:color w:val="000000"/>
          <w:sz w:val="24"/>
          <w:szCs w:val="24"/>
        </w:rPr>
      </w:pPr>
    </w:p>
    <w:p w:rsidR="0004548D" w:rsidRDefault="00A7540F">
      <w:pPr>
        <w:rPr>
          <w:rFonts w:ascii="Arial" w:eastAsia="Arial" w:hAnsi="Arial" w:cs="Arial"/>
          <w:b/>
          <w:sz w:val="36"/>
          <w:szCs w:val="36"/>
        </w:rPr>
      </w:pPr>
      <w:bookmarkStart w:id="6" w:name="_heading=h.3dy6vkm" w:colFirst="0" w:colLast="0"/>
      <w:bookmarkEnd w:id="6"/>
      <w:r>
        <w:br w:type="page"/>
      </w:r>
      <w:r>
        <w:rPr>
          <w:rFonts w:ascii="Arial" w:eastAsia="Arial" w:hAnsi="Arial" w:cs="Arial"/>
          <w:b/>
          <w:sz w:val="36"/>
          <w:szCs w:val="36"/>
        </w:rPr>
        <w:lastRenderedPageBreak/>
        <w:t>Annex 1: Rates and Prices</w:t>
      </w:r>
    </w:p>
    <w:p w:rsidR="0004548D" w:rsidRDefault="00A7540F">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1: Time and Materials</w:t>
      </w:r>
    </w:p>
    <w:p w:rsidR="0004548D" w:rsidRDefault="00A7540F">
      <w:pPr>
        <w:keepNext/>
        <w:pBdr>
          <w:top w:val="nil"/>
          <w:left w:val="nil"/>
          <w:bottom w:val="nil"/>
          <w:right w:val="nil"/>
          <w:between w:val="nil"/>
        </w:pBdr>
        <w:spacing w:before="240" w:after="240" w:line="240" w:lineRule="auto"/>
        <w:rPr>
          <w:rFonts w:ascii="Arial" w:eastAsia="Arial" w:hAnsi="Arial" w:cs="Arial"/>
          <w:color w:val="000000"/>
          <w:sz w:val="24"/>
          <w:szCs w:val="24"/>
        </w:rPr>
      </w:pPr>
      <w:r>
        <w:rPr>
          <w:rFonts w:ascii="Arial" w:eastAsia="Arial" w:hAnsi="Arial" w:cs="Arial"/>
          <w:color w:val="000000"/>
          <w:sz w:val="24"/>
          <w:szCs w:val="24"/>
        </w:rPr>
        <w:t>The Supplier (and its Sub-Contractor) shall not be entitled to include any uplift for risks or contingencies within its day rates</w:t>
      </w:r>
    </w:p>
    <w:p w:rsidR="0004548D" w:rsidRDefault="00A7540F">
      <w:pPr>
        <w:pBdr>
          <w:top w:val="nil"/>
          <w:left w:val="nil"/>
          <w:bottom w:val="nil"/>
          <w:right w:val="nil"/>
          <w:between w:val="nil"/>
        </w:pBdr>
        <w:spacing w:before="240" w:after="120" w:line="240" w:lineRule="auto"/>
        <w:rPr>
          <w:rFonts w:ascii="Arial" w:eastAsia="Arial" w:hAnsi="Arial" w:cs="Arial"/>
          <w:b/>
          <w:i/>
          <w:color w:val="000000"/>
          <w:sz w:val="24"/>
          <w:szCs w:val="24"/>
        </w:rPr>
      </w:pPr>
      <w:r>
        <w:rPr>
          <w:rFonts w:ascii="Arial" w:eastAsia="Arial" w:hAnsi="Arial" w:cs="Arial"/>
          <w:i/>
          <w:color w:val="000000"/>
          <w:sz w:val="24"/>
          <w:szCs w:val="24"/>
        </w:rPr>
        <w:t>The rates below shall [not] be subject to variation by way of Indexation</w:t>
      </w:r>
    </w:p>
    <w:tbl>
      <w:tblPr>
        <w:tblStyle w:val="a"/>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450"/>
        <w:gridCol w:w="4566"/>
      </w:tblGrid>
      <w:tr w:rsidR="0004548D">
        <w:tc>
          <w:tcPr>
            <w:tcW w:w="4450" w:type="dxa"/>
            <w:shd w:val="clear" w:color="auto" w:fill="548DD4"/>
          </w:tcPr>
          <w:p w:rsidR="0004548D" w:rsidRDefault="00A7540F">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Staff Grade</w:t>
            </w:r>
          </w:p>
        </w:tc>
        <w:tc>
          <w:tcPr>
            <w:tcW w:w="4566" w:type="dxa"/>
            <w:shd w:val="clear" w:color="auto" w:fill="548DD4"/>
          </w:tcPr>
          <w:p w:rsidR="0004548D" w:rsidRDefault="00A7540F">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Day Rate (£)</w:t>
            </w:r>
          </w:p>
        </w:tc>
      </w:tr>
      <w:tr w:rsidR="0004548D">
        <w:tc>
          <w:tcPr>
            <w:tcW w:w="4450" w:type="dxa"/>
          </w:tcPr>
          <w:p w:rsidR="0004548D" w:rsidRDefault="0004548D">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c>
          <w:tcPr>
            <w:tcW w:w="4566" w:type="dxa"/>
          </w:tcPr>
          <w:p w:rsidR="0004548D" w:rsidRDefault="0004548D">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r w:rsidR="0004548D">
        <w:tc>
          <w:tcPr>
            <w:tcW w:w="4450" w:type="dxa"/>
          </w:tcPr>
          <w:p w:rsidR="0004548D" w:rsidRDefault="0004548D">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c>
          <w:tcPr>
            <w:tcW w:w="4566" w:type="dxa"/>
          </w:tcPr>
          <w:p w:rsidR="0004548D" w:rsidRDefault="0004548D">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bl>
    <w:p w:rsidR="0004548D" w:rsidRDefault="00A7540F">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2: Fixed Prices</w:t>
      </w:r>
    </w:p>
    <w:p w:rsidR="0004548D" w:rsidRDefault="00A7540F">
      <w:pPr>
        <w:pBdr>
          <w:top w:val="nil"/>
          <w:left w:val="nil"/>
          <w:bottom w:val="nil"/>
          <w:right w:val="nil"/>
          <w:between w:val="nil"/>
        </w:pBdr>
        <w:spacing w:before="240" w:after="120" w:line="240" w:lineRule="auto"/>
        <w:rPr>
          <w:rFonts w:ascii="Arial" w:eastAsia="Arial" w:hAnsi="Arial" w:cs="Arial"/>
          <w:b/>
          <w:i/>
          <w:color w:val="000000"/>
          <w:sz w:val="24"/>
          <w:szCs w:val="24"/>
        </w:rPr>
      </w:pPr>
      <w:r>
        <w:rPr>
          <w:rFonts w:ascii="Arial" w:eastAsia="Arial" w:hAnsi="Arial" w:cs="Arial"/>
          <w:color w:val="000000"/>
          <w:sz w:val="24"/>
          <w:szCs w:val="24"/>
        </w:rPr>
        <w:t>The rates below shall [not] be subject to variation by way of Indexation</w:t>
      </w:r>
    </w:p>
    <w:tbl>
      <w:tblPr>
        <w:tblStyle w:val="a0"/>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508"/>
        <w:gridCol w:w="4508"/>
      </w:tblGrid>
      <w:tr w:rsidR="0004548D">
        <w:tc>
          <w:tcPr>
            <w:tcW w:w="4508" w:type="dxa"/>
            <w:shd w:val="clear" w:color="auto" w:fill="548DD4"/>
          </w:tcPr>
          <w:p w:rsidR="0004548D" w:rsidRDefault="00A7540F">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Framework Price</w:t>
            </w:r>
          </w:p>
        </w:tc>
        <w:tc>
          <w:tcPr>
            <w:tcW w:w="4508" w:type="dxa"/>
            <w:shd w:val="clear" w:color="auto" w:fill="548DD4"/>
          </w:tcPr>
          <w:p w:rsidR="0004548D" w:rsidRDefault="00A7540F">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Fixed Framework Price (£)</w:t>
            </w:r>
          </w:p>
        </w:tc>
      </w:tr>
      <w:tr w:rsidR="0004548D">
        <w:tc>
          <w:tcPr>
            <w:tcW w:w="4508" w:type="dxa"/>
          </w:tcPr>
          <w:p w:rsidR="0004548D" w:rsidRDefault="00A7540F">
            <w:pPr>
              <w:keepNext/>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M3]</w:t>
            </w:r>
          </w:p>
        </w:tc>
        <w:tc>
          <w:tcPr>
            <w:tcW w:w="4508" w:type="dxa"/>
            <w:shd w:val="clear" w:color="auto" w:fill="FFFFFF"/>
          </w:tcPr>
          <w:p w:rsidR="0004548D" w:rsidRDefault="0004548D">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r w:rsidR="0004548D">
        <w:tc>
          <w:tcPr>
            <w:tcW w:w="4508" w:type="dxa"/>
          </w:tcPr>
          <w:p w:rsidR="0004548D" w:rsidRDefault="00A7540F">
            <w:pPr>
              <w:keepNext/>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SC3]</w:t>
            </w:r>
          </w:p>
        </w:tc>
        <w:tc>
          <w:tcPr>
            <w:tcW w:w="4508" w:type="dxa"/>
            <w:shd w:val="clear" w:color="auto" w:fill="FFFFFF"/>
          </w:tcPr>
          <w:p w:rsidR="0004548D" w:rsidRDefault="0004548D">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bl>
    <w:p w:rsidR="0004548D" w:rsidRDefault="0004548D">
      <w:pPr>
        <w:rPr>
          <w:rFonts w:ascii="Arial" w:eastAsia="Arial" w:hAnsi="Arial" w:cs="Arial"/>
          <w:b/>
          <w:smallCaps/>
          <w:sz w:val="24"/>
          <w:szCs w:val="24"/>
        </w:rPr>
      </w:pPr>
      <w:bookmarkStart w:id="7" w:name="_heading=h.1t3h5sf" w:colFirst="0" w:colLast="0"/>
      <w:bookmarkEnd w:id="7"/>
    </w:p>
    <w:p w:rsidR="0004548D" w:rsidRDefault="00A7540F">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3: Volume Based Prices</w:t>
      </w:r>
    </w:p>
    <w:p w:rsidR="0004548D" w:rsidRDefault="00A7540F">
      <w:pPr>
        <w:pBdr>
          <w:top w:val="nil"/>
          <w:left w:val="nil"/>
          <w:bottom w:val="nil"/>
          <w:right w:val="nil"/>
          <w:between w:val="nil"/>
        </w:pBdr>
        <w:spacing w:before="240" w:after="120" w:line="240" w:lineRule="auto"/>
        <w:ind w:left="-142"/>
        <w:rPr>
          <w:rFonts w:ascii="Arial" w:eastAsia="Arial" w:hAnsi="Arial" w:cs="Arial"/>
          <w:b/>
          <w:i/>
          <w:color w:val="000000"/>
          <w:sz w:val="24"/>
          <w:szCs w:val="24"/>
        </w:rPr>
      </w:pPr>
      <w:r>
        <w:rPr>
          <w:rFonts w:ascii="Arial" w:eastAsia="Arial" w:hAnsi="Arial" w:cs="Arial"/>
          <w:color w:val="000000"/>
          <w:sz w:val="24"/>
          <w:szCs w:val="24"/>
        </w:rPr>
        <w:t>The rates below shall [not] be subject to variation by way of Indexation</w:t>
      </w:r>
    </w:p>
    <w:tbl>
      <w:tblPr>
        <w:tblStyle w:val="a1"/>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254"/>
        <w:gridCol w:w="2254"/>
        <w:gridCol w:w="2254"/>
        <w:gridCol w:w="2254"/>
      </w:tblGrid>
      <w:tr w:rsidR="0004548D">
        <w:tc>
          <w:tcPr>
            <w:tcW w:w="2254" w:type="dxa"/>
            <w:shd w:val="clear" w:color="auto" w:fill="548DD4"/>
          </w:tcPr>
          <w:p w:rsidR="0004548D" w:rsidRDefault="00A7540F">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Framework Price Number</w:t>
            </w:r>
          </w:p>
        </w:tc>
        <w:tc>
          <w:tcPr>
            <w:tcW w:w="2254" w:type="dxa"/>
            <w:shd w:val="clear" w:color="auto" w:fill="548DD4"/>
          </w:tcPr>
          <w:p w:rsidR="0004548D" w:rsidRDefault="00A7540F">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Unit</w:t>
            </w:r>
          </w:p>
        </w:tc>
        <w:tc>
          <w:tcPr>
            <w:tcW w:w="2254" w:type="dxa"/>
            <w:shd w:val="clear" w:color="auto" w:fill="548DD4"/>
          </w:tcPr>
          <w:p w:rsidR="0004548D" w:rsidRDefault="00A7540F">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Number of units per Service Period</w:t>
            </w:r>
          </w:p>
        </w:tc>
        <w:tc>
          <w:tcPr>
            <w:tcW w:w="2254" w:type="dxa"/>
            <w:shd w:val="clear" w:color="auto" w:fill="548DD4"/>
          </w:tcPr>
          <w:p w:rsidR="0004548D" w:rsidRDefault="00A7540F">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Charge per unit (£)</w:t>
            </w:r>
          </w:p>
        </w:tc>
      </w:tr>
      <w:tr w:rsidR="0004548D">
        <w:tc>
          <w:tcPr>
            <w:tcW w:w="2254" w:type="dxa"/>
            <w:vMerge w:val="restart"/>
          </w:tcPr>
          <w:p w:rsidR="0004548D" w:rsidRDefault="00A7540F">
            <w:pPr>
              <w:keepNext/>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SC1]</w:t>
            </w:r>
          </w:p>
        </w:tc>
        <w:tc>
          <w:tcPr>
            <w:tcW w:w="2254" w:type="dxa"/>
            <w:vMerge w:val="restart"/>
          </w:tcPr>
          <w:p w:rsidR="0004548D" w:rsidRDefault="0004548D">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c>
          <w:tcPr>
            <w:tcW w:w="2254" w:type="dxa"/>
          </w:tcPr>
          <w:p w:rsidR="0004548D" w:rsidRDefault="00A7540F">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rsidR="0004548D" w:rsidRDefault="00A7540F">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                  ]</w:t>
            </w:r>
          </w:p>
        </w:tc>
      </w:tr>
      <w:tr w:rsidR="0004548D">
        <w:trPr>
          <w:trHeight w:val="701"/>
        </w:trPr>
        <w:tc>
          <w:tcPr>
            <w:tcW w:w="2254" w:type="dxa"/>
            <w:vMerge/>
          </w:tcPr>
          <w:p w:rsidR="0004548D" w:rsidRDefault="0004548D">
            <w:pPr>
              <w:widowControl w:val="0"/>
              <w:pBdr>
                <w:top w:val="nil"/>
                <w:left w:val="nil"/>
                <w:bottom w:val="nil"/>
                <w:right w:val="nil"/>
                <w:between w:val="nil"/>
              </w:pBdr>
              <w:spacing w:after="0"/>
              <w:rPr>
                <w:rFonts w:ascii="Arial" w:eastAsia="Arial" w:hAnsi="Arial" w:cs="Arial"/>
                <w:color w:val="000000"/>
                <w:sz w:val="24"/>
                <w:szCs w:val="24"/>
              </w:rPr>
            </w:pPr>
          </w:p>
        </w:tc>
        <w:tc>
          <w:tcPr>
            <w:tcW w:w="2254" w:type="dxa"/>
            <w:vMerge/>
          </w:tcPr>
          <w:p w:rsidR="0004548D" w:rsidRDefault="0004548D">
            <w:pPr>
              <w:widowControl w:val="0"/>
              <w:pBdr>
                <w:top w:val="nil"/>
                <w:left w:val="nil"/>
                <w:bottom w:val="nil"/>
                <w:right w:val="nil"/>
                <w:between w:val="nil"/>
              </w:pBdr>
              <w:spacing w:after="0"/>
              <w:rPr>
                <w:rFonts w:ascii="Arial" w:eastAsia="Arial" w:hAnsi="Arial" w:cs="Arial"/>
                <w:color w:val="000000"/>
                <w:sz w:val="24"/>
                <w:szCs w:val="24"/>
              </w:rPr>
            </w:pPr>
          </w:p>
        </w:tc>
        <w:tc>
          <w:tcPr>
            <w:tcW w:w="2254" w:type="dxa"/>
          </w:tcPr>
          <w:p w:rsidR="0004548D" w:rsidRDefault="00A7540F">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rsidR="0004548D" w:rsidRDefault="00A7540F">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                  ]</w:t>
            </w:r>
          </w:p>
        </w:tc>
      </w:tr>
      <w:tr w:rsidR="0004548D">
        <w:tc>
          <w:tcPr>
            <w:tcW w:w="2254" w:type="dxa"/>
            <w:vMerge w:val="restart"/>
          </w:tcPr>
          <w:p w:rsidR="0004548D" w:rsidRDefault="00A7540F">
            <w:pPr>
              <w:keepNext/>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SC2]</w:t>
            </w:r>
          </w:p>
        </w:tc>
        <w:tc>
          <w:tcPr>
            <w:tcW w:w="2254" w:type="dxa"/>
            <w:vMerge w:val="restart"/>
          </w:tcPr>
          <w:p w:rsidR="0004548D" w:rsidRDefault="0004548D">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c>
          <w:tcPr>
            <w:tcW w:w="2254" w:type="dxa"/>
          </w:tcPr>
          <w:p w:rsidR="0004548D" w:rsidRDefault="00A7540F">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rsidR="0004548D" w:rsidRDefault="00A7540F">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                  ]</w:t>
            </w:r>
          </w:p>
        </w:tc>
      </w:tr>
      <w:tr w:rsidR="0004548D">
        <w:tc>
          <w:tcPr>
            <w:tcW w:w="2254" w:type="dxa"/>
            <w:vMerge/>
          </w:tcPr>
          <w:p w:rsidR="0004548D" w:rsidRDefault="0004548D">
            <w:pPr>
              <w:widowControl w:val="0"/>
              <w:pBdr>
                <w:top w:val="nil"/>
                <w:left w:val="nil"/>
                <w:bottom w:val="nil"/>
                <w:right w:val="nil"/>
                <w:between w:val="nil"/>
              </w:pBdr>
              <w:spacing w:after="0"/>
              <w:rPr>
                <w:rFonts w:ascii="Arial" w:eastAsia="Arial" w:hAnsi="Arial" w:cs="Arial"/>
                <w:color w:val="000000"/>
                <w:sz w:val="24"/>
                <w:szCs w:val="24"/>
              </w:rPr>
            </w:pPr>
          </w:p>
        </w:tc>
        <w:tc>
          <w:tcPr>
            <w:tcW w:w="2254" w:type="dxa"/>
            <w:vMerge/>
          </w:tcPr>
          <w:p w:rsidR="0004548D" w:rsidRDefault="0004548D">
            <w:pPr>
              <w:widowControl w:val="0"/>
              <w:pBdr>
                <w:top w:val="nil"/>
                <w:left w:val="nil"/>
                <w:bottom w:val="nil"/>
                <w:right w:val="nil"/>
                <w:between w:val="nil"/>
              </w:pBdr>
              <w:spacing w:after="0"/>
              <w:rPr>
                <w:rFonts w:ascii="Arial" w:eastAsia="Arial" w:hAnsi="Arial" w:cs="Arial"/>
                <w:color w:val="000000"/>
                <w:sz w:val="24"/>
                <w:szCs w:val="24"/>
              </w:rPr>
            </w:pPr>
          </w:p>
        </w:tc>
        <w:tc>
          <w:tcPr>
            <w:tcW w:w="2254" w:type="dxa"/>
          </w:tcPr>
          <w:p w:rsidR="0004548D" w:rsidRDefault="00A7540F">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rsidR="0004548D" w:rsidRDefault="00A7540F">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                  ]</w:t>
            </w:r>
          </w:p>
        </w:tc>
      </w:tr>
    </w:tbl>
    <w:p w:rsidR="0004548D" w:rsidRDefault="0004548D">
      <w:pPr>
        <w:rPr>
          <w:rFonts w:ascii="Arial" w:eastAsia="Arial" w:hAnsi="Arial" w:cs="Arial"/>
          <w:b/>
          <w:sz w:val="24"/>
          <w:szCs w:val="24"/>
        </w:rPr>
        <w:sectPr w:rsidR="0004548D">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pPr>
    </w:p>
    <w:p w:rsidR="0004548D" w:rsidRDefault="0004548D">
      <w:pPr>
        <w:rPr>
          <w:rFonts w:ascii="Arial" w:eastAsia="Arial" w:hAnsi="Arial" w:cs="Arial"/>
          <w:b/>
          <w:sz w:val="24"/>
          <w:szCs w:val="24"/>
        </w:rPr>
      </w:pPr>
    </w:p>
    <w:sectPr w:rsidR="0004548D">
      <w:pgSz w:w="11906" w:h="16838"/>
      <w:pgMar w:top="1888"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162" w:rsidRDefault="006A7162">
      <w:pPr>
        <w:spacing w:after="0" w:line="240" w:lineRule="auto"/>
      </w:pPr>
      <w:r>
        <w:separator/>
      </w:r>
    </w:p>
  </w:endnote>
  <w:endnote w:type="continuationSeparator" w:id="0">
    <w:p w:rsidR="006A7162" w:rsidRDefault="006A71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default"/>
  </w:font>
  <w:font w:name="STZhongsong">
    <w:altName w:val="Arial Unicode MS"/>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48D" w:rsidRDefault="00A7540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RM6174</w:t>
    </w:r>
    <w:r>
      <w:rPr>
        <w:rFonts w:ascii="Arial" w:eastAsia="Arial" w:hAnsi="Arial" w:cs="Arial"/>
        <w:sz w:val="20"/>
        <w:szCs w:val="20"/>
      </w:rPr>
      <w:tab/>
      <w:t xml:space="preserve">                                           </w:t>
    </w:r>
  </w:p>
  <w:p w:rsidR="0004548D" w:rsidRDefault="00A754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C3A93">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04548D" w:rsidRDefault="00A7540F">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48D" w:rsidRDefault="00A7540F">
    <w:pPr>
      <w:tabs>
        <w:tab w:val="center" w:pos="4513"/>
        <w:tab w:val="right" w:pos="9026"/>
      </w:tabs>
      <w:spacing w:after="0"/>
    </w:pPr>
    <w:r>
      <w:t>Framework Ref: RM</w:t>
    </w:r>
    <w:r>
      <w:tab/>
      <w:t xml:space="preserve">                                           </w:t>
    </w:r>
  </w:p>
  <w:p w:rsidR="0004548D" w:rsidRDefault="00A754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04548D" w:rsidRDefault="00A7540F">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162" w:rsidRDefault="006A7162">
      <w:pPr>
        <w:spacing w:after="0" w:line="240" w:lineRule="auto"/>
      </w:pPr>
      <w:r>
        <w:separator/>
      </w:r>
    </w:p>
  </w:footnote>
  <w:footnote w:type="continuationSeparator" w:id="0">
    <w:p w:rsidR="006A7162" w:rsidRDefault="006A71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48D" w:rsidRDefault="00A7540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04548D" w:rsidRDefault="00A754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48D" w:rsidRDefault="00A7540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04548D" w:rsidRDefault="00A7540F">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8630C3"/>
    <w:multiLevelType w:val="multilevel"/>
    <w:tmpl w:val="EB8CF36A"/>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47A31AF"/>
    <w:multiLevelType w:val="multilevel"/>
    <w:tmpl w:val="79DA1B9C"/>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48D"/>
    <w:rsid w:val="0004548D"/>
    <w:rsid w:val="00413F97"/>
    <w:rsid w:val="006A7162"/>
    <w:rsid w:val="009C3A93"/>
    <w:rsid w:val="00A75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F4F95A-7CA2-49C0-BB14-F80AE0114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NormalWeb">
    <w:name w:val="Normal (Web)"/>
    <w:basedOn w:val="Normal"/>
    <w:uiPriority w:val="99"/>
    <w:semiHidden/>
    <w:unhideWhenUsed/>
    <w:rsid w:val="004C56A6"/>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wB4k1F9k6fugCiPFPPu427k95Q==">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799</Words>
  <Characters>4560</Characters>
  <Application>Microsoft Office Word</Application>
  <DocSecurity>0</DocSecurity>
  <Lines>38</Lines>
  <Paragraphs>10</Paragraphs>
  <ScaleCrop>false</ScaleCrop>
  <Company>Cabinet Office</Company>
  <LinksUpToDate>false</LinksUpToDate>
  <CharactersWithSpaces>5349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Natasha Gowan</cp:lastModifiedBy>
  <cp:revision>3</cp:revision>
  <dcterms:created xsi:type="dcterms:W3CDTF">2021-01-13T14:48:00Z</dcterms:created>
  <dcterms:modified xsi:type="dcterms:W3CDTF">2021-04-01T09:28:00Z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